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8DEB5" w14:textId="497CEF80" w:rsidR="004F164E" w:rsidRPr="0096661C" w:rsidRDefault="009E2158" w:rsidP="0096661C">
      <w:pPr>
        <w:spacing w:line="480" w:lineRule="auto"/>
        <w:jc w:val="both"/>
        <w:rPr>
          <w:rFonts w:ascii="Bell MT" w:hAnsi="Bell MT"/>
          <w:color w:val="FF0000"/>
        </w:rPr>
      </w:pPr>
      <w:r w:rsidRPr="0096661C">
        <w:rPr>
          <w:rFonts w:ascii="Bell MT" w:hAnsi="Bell MT"/>
          <w:color w:val="FF0000"/>
        </w:rPr>
        <w:t xml:space="preserve">Session 8 </w:t>
      </w:r>
      <w:r w:rsidR="00C73B9D" w:rsidRPr="0096661C">
        <w:rPr>
          <w:rFonts w:ascii="Bell MT" w:hAnsi="Bell MT"/>
          <w:color w:val="FF0000"/>
        </w:rPr>
        <w:t xml:space="preserve">Need Response to </w:t>
      </w:r>
      <w:r w:rsidR="00CF68C2" w:rsidRPr="0096661C">
        <w:rPr>
          <w:rFonts w:ascii="Bell MT" w:hAnsi="Bell MT"/>
          <w:color w:val="FF0000"/>
        </w:rPr>
        <w:t>Trelvis</w:t>
      </w:r>
    </w:p>
    <w:p w14:paraId="2457A49B" w14:textId="77777777" w:rsidR="009E2158" w:rsidRPr="0096661C" w:rsidRDefault="009E2158" w:rsidP="0096661C">
      <w:pPr>
        <w:pStyle w:val="NormalWeb"/>
        <w:jc w:val="both"/>
        <w:rPr>
          <w:rFonts w:ascii="Bell MT" w:hAnsi="Bell MT"/>
        </w:rPr>
      </w:pPr>
      <w:r w:rsidRPr="0096661C">
        <w:rPr>
          <w:rFonts w:ascii="Bell MT" w:hAnsi="Bell MT"/>
        </w:rPr>
        <w:t>Two cash flow ratios currently used by investment analysts of value to project managers are the Current Ratio and the Operating Cash Flow Ratio.</w:t>
      </w:r>
    </w:p>
    <w:p w14:paraId="5152A706" w14:textId="77777777" w:rsidR="009E2158" w:rsidRPr="0096661C" w:rsidRDefault="009E2158" w:rsidP="0096661C">
      <w:pPr>
        <w:pStyle w:val="NormalWeb"/>
        <w:jc w:val="both"/>
        <w:rPr>
          <w:rFonts w:ascii="Bell MT" w:hAnsi="Bell MT"/>
        </w:rPr>
      </w:pPr>
      <w:r w:rsidRPr="0096661C">
        <w:rPr>
          <w:rFonts w:ascii="Bell MT" w:hAnsi="Bell MT"/>
        </w:rPr>
        <w:t>Current Ratio- It is useful for the PM to compare the organization's current assets to its current liabilities to determine liquidity. The higher the ratio, the more likely a company can pay its debts. Current Ratio = Current Assets/Current Liabilities</w:t>
      </w:r>
    </w:p>
    <w:p w14:paraId="6ADE6D6A" w14:textId="471820CC" w:rsidR="009E2158" w:rsidRPr="0096661C" w:rsidRDefault="009E2158" w:rsidP="0096661C">
      <w:pPr>
        <w:pStyle w:val="NormalWeb"/>
        <w:jc w:val="both"/>
        <w:rPr>
          <w:rFonts w:ascii="Bell MT" w:hAnsi="Bell MT"/>
        </w:rPr>
      </w:pPr>
      <w:r w:rsidRPr="0096661C">
        <w:rPr>
          <w:rFonts w:ascii="Bell MT" w:hAnsi="Bell MT"/>
        </w:rPr>
        <w:t>Operating Cash Flow Ratio- a PM can use this ratio to determine if an organization brings positive cash flow from its core businesses for long-term sustainability. If it is not, the company may require additional financing. Operating Cash Flows Ratio = Cash Flows from Operations/Current Liabilities</w:t>
      </w:r>
      <w:r w:rsidR="00644D9E" w:rsidRPr="0096661C">
        <w:rPr>
          <w:rFonts w:ascii="Bell MT" w:hAnsi="Bell MT"/>
        </w:rPr>
        <w:t>.</w:t>
      </w:r>
      <w:r w:rsidR="00FC6072" w:rsidRPr="0096661C">
        <w:rPr>
          <w:rFonts w:ascii="Bell MT" w:hAnsi="Bell MT"/>
        </w:rPr>
        <w:t xml:space="preserve"> </w:t>
      </w:r>
    </w:p>
    <w:p w14:paraId="03AF1EC2" w14:textId="26E1EDA8" w:rsidR="00981CA2" w:rsidRPr="0096661C" w:rsidRDefault="00981CA2" w:rsidP="0096661C">
      <w:pPr>
        <w:pStyle w:val="NormalWeb"/>
        <w:jc w:val="both"/>
        <w:rPr>
          <w:rFonts w:ascii="Bell MT" w:hAnsi="Bell MT"/>
        </w:rPr>
      </w:pPr>
      <w:r w:rsidRPr="0096661C">
        <w:rPr>
          <w:rFonts w:ascii="Bell MT" w:hAnsi="Bell MT"/>
        </w:rPr>
        <w:t xml:space="preserve">Reply </w:t>
      </w:r>
    </w:p>
    <w:p w14:paraId="44671F0C" w14:textId="2BEF0BBD" w:rsidR="00981CA2" w:rsidRPr="00884CE1" w:rsidRDefault="009B00CE" w:rsidP="0096661C">
      <w:pPr>
        <w:pStyle w:val="NormalWeb"/>
        <w:spacing w:line="480" w:lineRule="auto"/>
        <w:jc w:val="both"/>
        <w:rPr>
          <w:rFonts w:ascii="Bell MT" w:hAnsi="Bell MT"/>
          <w:b/>
          <w:bCs/>
        </w:rPr>
      </w:pPr>
      <w:r w:rsidRPr="00884CE1">
        <w:rPr>
          <w:rFonts w:ascii="Bell MT" w:hAnsi="Bell MT"/>
          <w:b/>
          <w:bCs/>
        </w:rPr>
        <w:t xml:space="preserve">Hello Trelvis, </w:t>
      </w:r>
    </w:p>
    <w:p w14:paraId="3F6E466C" w14:textId="06934EEB" w:rsidR="00C73B9D" w:rsidRPr="0096661C" w:rsidRDefault="00216D0A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884CE1">
        <w:rPr>
          <w:rFonts w:ascii="Bell MT" w:hAnsi="Bell MT"/>
          <w:b/>
          <w:bCs/>
        </w:rPr>
        <w:t xml:space="preserve">Based on your description of the two ratios above, </w:t>
      </w:r>
      <w:r w:rsidR="00CC08C3" w:rsidRPr="00884CE1">
        <w:rPr>
          <w:rFonts w:ascii="Bell MT" w:hAnsi="Bell MT"/>
          <w:b/>
          <w:bCs/>
        </w:rPr>
        <w:t xml:space="preserve">it is evident that </w:t>
      </w:r>
      <w:r w:rsidR="00AC6648" w:rsidRPr="00884CE1">
        <w:rPr>
          <w:rFonts w:ascii="Bell MT" w:hAnsi="Bell MT"/>
          <w:b/>
          <w:bCs/>
        </w:rPr>
        <w:t>organizations need to be aware of the</w:t>
      </w:r>
      <w:r w:rsidR="0093626D" w:rsidRPr="00884CE1">
        <w:rPr>
          <w:rFonts w:ascii="Bell MT" w:hAnsi="Bell MT"/>
          <w:b/>
          <w:bCs/>
        </w:rPr>
        <w:t xml:space="preserve">ir cash position </w:t>
      </w:r>
      <w:r w:rsidR="004C5AB7" w:rsidRPr="00884CE1">
        <w:rPr>
          <w:rFonts w:ascii="Bell MT" w:hAnsi="Bell MT"/>
          <w:b/>
          <w:bCs/>
        </w:rPr>
        <w:t>at all times</w:t>
      </w:r>
      <w:r w:rsidR="00E7746C" w:rsidRPr="00884CE1">
        <w:rPr>
          <w:rFonts w:ascii="Bell MT" w:hAnsi="Bell MT"/>
          <w:b/>
          <w:bCs/>
        </w:rPr>
        <w:t xml:space="preserve"> because these ratios </w:t>
      </w:r>
      <w:r w:rsidR="003E697A" w:rsidRPr="00884CE1">
        <w:rPr>
          <w:rFonts w:ascii="Bell MT" w:hAnsi="Bell MT"/>
          <w:b/>
          <w:bCs/>
        </w:rPr>
        <w:t xml:space="preserve">are often the best </w:t>
      </w:r>
      <w:r w:rsidR="009943A8" w:rsidRPr="00884CE1">
        <w:rPr>
          <w:rFonts w:ascii="Bell MT" w:hAnsi="Bell MT"/>
          <w:b/>
          <w:bCs/>
        </w:rPr>
        <w:t xml:space="preserve">measures </w:t>
      </w:r>
      <w:r w:rsidR="00D64CE7" w:rsidRPr="00884CE1">
        <w:rPr>
          <w:rFonts w:ascii="Bell MT" w:hAnsi="Bell MT"/>
          <w:b/>
          <w:bCs/>
        </w:rPr>
        <w:t xml:space="preserve">of the </w:t>
      </w:r>
      <w:r w:rsidR="008864AD" w:rsidRPr="00884CE1">
        <w:rPr>
          <w:rFonts w:ascii="Bell MT" w:hAnsi="Bell MT"/>
          <w:b/>
          <w:bCs/>
        </w:rPr>
        <w:t xml:space="preserve">firm’s </w:t>
      </w:r>
      <w:r w:rsidR="003505CF" w:rsidRPr="00884CE1">
        <w:rPr>
          <w:rFonts w:ascii="Bell MT" w:hAnsi="Bell MT"/>
          <w:b/>
          <w:bCs/>
        </w:rPr>
        <w:t>liquidity</w:t>
      </w:r>
      <w:r w:rsidR="00E2169A" w:rsidRPr="00884CE1">
        <w:rPr>
          <w:rFonts w:ascii="Bell MT" w:hAnsi="Bell MT"/>
          <w:b/>
          <w:bCs/>
        </w:rPr>
        <w:t xml:space="preserve"> and </w:t>
      </w:r>
      <w:r w:rsidR="00653620" w:rsidRPr="00884CE1">
        <w:rPr>
          <w:rFonts w:ascii="Bell MT" w:hAnsi="Bell MT"/>
          <w:b/>
          <w:bCs/>
        </w:rPr>
        <w:t>long-term</w:t>
      </w:r>
      <w:r w:rsidR="00E2169A" w:rsidRPr="00884CE1">
        <w:rPr>
          <w:rFonts w:ascii="Bell MT" w:hAnsi="Bell MT"/>
          <w:b/>
          <w:bCs/>
        </w:rPr>
        <w:t xml:space="preserve"> viability </w:t>
      </w:r>
      <w:r w:rsidR="007D6C0C" w:rsidRPr="00884CE1">
        <w:rPr>
          <w:rFonts w:ascii="Bell MT" w:hAnsi="Bell MT"/>
          <w:b/>
          <w:bCs/>
        </w:rPr>
        <w:t xml:space="preserve">of the business. </w:t>
      </w:r>
      <w:r w:rsidR="00342972" w:rsidRPr="00884CE1">
        <w:rPr>
          <w:rFonts w:ascii="Bell MT" w:hAnsi="Bell MT"/>
          <w:b/>
          <w:bCs/>
        </w:rPr>
        <w:t>Otherwise</w:t>
      </w:r>
      <w:r w:rsidR="001B5490" w:rsidRPr="00884CE1">
        <w:rPr>
          <w:rFonts w:ascii="Bell MT" w:hAnsi="Bell MT"/>
          <w:b/>
          <w:bCs/>
        </w:rPr>
        <w:t>, this is a nice post</w:t>
      </w:r>
      <w:r w:rsidR="001B5490" w:rsidRPr="0096661C">
        <w:rPr>
          <w:rFonts w:ascii="Bell MT" w:hAnsi="Bell MT"/>
        </w:rPr>
        <w:t xml:space="preserve">. </w:t>
      </w:r>
    </w:p>
    <w:p w14:paraId="35A220A9" w14:textId="17BB5816" w:rsidR="00C73B9D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  <w:color w:val="FF0000"/>
        </w:rPr>
      </w:pPr>
      <w:r w:rsidRPr="0096661C">
        <w:rPr>
          <w:rFonts w:ascii="Bell MT" w:hAnsi="Bell MT"/>
          <w:color w:val="FF0000"/>
        </w:rPr>
        <w:t xml:space="preserve">Session 8 </w:t>
      </w:r>
      <w:r w:rsidR="00C73B9D" w:rsidRPr="0096661C">
        <w:rPr>
          <w:rFonts w:ascii="Bell MT" w:hAnsi="Bell MT"/>
          <w:color w:val="FF0000"/>
        </w:rPr>
        <w:t>Need Response to Tia T</w:t>
      </w:r>
    </w:p>
    <w:p w14:paraId="3407354B" w14:textId="77777777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Fonts w:ascii="Bell MT" w:hAnsi="Bell MT"/>
        </w:rPr>
        <w:t xml:space="preserve">“The operating cash flow ratio is a measure of how readily current liabilities are covered by the cash flows generated from a company's operations” (Hargrave, 2021). Utilizing cash flow ratios will help a project manager to determine in a company is in enough financial health to 1) financially maintain its current projects and/or 2) can financially start a new project. More specifically cash flow ratio is, “a measure of the number of times a company can pay off current debts with cash generated within the same period” (Hargrave, 2021). Two examples of cash flow ratios include the Current Ratio and Long-term Debt to Equity Ratio (Levin, n.d.). The Current Ratio helps to determine if a company’s current assets (earned within less than 1 year) are enough </w:t>
      </w:r>
      <w:r w:rsidRPr="0096661C">
        <w:rPr>
          <w:rFonts w:ascii="Bell MT" w:hAnsi="Bell MT"/>
        </w:rPr>
        <w:lastRenderedPageBreak/>
        <w:t>to cover their current liabilities (debt owed within 1 year). The Long-term Debt to Equity Ratio divides the total amount of long-term liabilities (longer than 1 year) by the earned equity for the company. This information should be found on a company's Balance Sheet but should be best found on a company’s Cash Flow Statement. </w:t>
      </w:r>
    </w:p>
    <w:p w14:paraId="13945EAF" w14:textId="77777777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Style w:val="Strong"/>
          <w:rFonts w:ascii="Bell MT" w:hAnsi="Bell MT"/>
        </w:rPr>
        <w:t> </w:t>
      </w:r>
    </w:p>
    <w:p w14:paraId="3E010A49" w14:textId="77777777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Style w:val="Strong"/>
          <w:rFonts w:ascii="Bell MT" w:hAnsi="Bell MT"/>
        </w:rPr>
        <w:t>Cash Flow Ratio Examples:</w:t>
      </w:r>
    </w:p>
    <w:p w14:paraId="48F45A87" w14:textId="77777777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Fonts w:ascii="Bell MT" w:hAnsi="Bell MT"/>
        </w:rPr>
        <w:t>Current Ratio = Current Assets/ Current Liabilities</w:t>
      </w:r>
    </w:p>
    <w:p w14:paraId="6141B5DF" w14:textId="5B909FE7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Fonts w:ascii="Bell MT" w:hAnsi="Bell MT"/>
        </w:rPr>
        <w:t xml:space="preserve">Long-term Debt to Equity Ratio </w:t>
      </w:r>
      <w:r w:rsidR="0094509A" w:rsidRPr="0096661C">
        <w:rPr>
          <w:rFonts w:ascii="Bell MT" w:hAnsi="Bell MT"/>
        </w:rPr>
        <w:t>= Long</w:t>
      </w:r>
      <w:r w:rsidRPr="0096661C">
        <w:rPr>
          <w:rFonts w:ascii="Bell MT" w:hAnsi="Bell MT"/>
        </w:rPr>
        <w:t>-term Liabilities/ Total Equity </w:t>
      </w:r>
    </w:p>
    <w:p w14:paraId="56533EF4" w14:textId="54600040" w:rsidR="00326E2F" w:rsidRPr="001F1409" w:rsidRDefault="004B7359" w:rsidP="0096661C">
      <w:pPr>
        <w:pStyle w:val="NormalWeb"/>
        <w:spacing w:line="480" w:lineRule="auto"/>
        <w:jc w:val="both"/>
        <w:rPr>
          <w:rFonts w:ascii="Bell MT" w:hAnsi="Bell MT"/>
          <w:b/>
          <w:bCs/>
        </w:rPr>
      </w:pPr>
      <w:r w:rsidRPr="001F1409">
        <w:rPr>
          <w:rFonts w:ascii="Bell MT" w:hAnsi="Bell MT"/>
          <w:b/>
          <w:bCs/>
        </w:rPr>
        <w:t>Reply</w:t>
      </w:r>
    </w:p>
    <w:p w14:paraId="01F67B83" w14:textId="0CB086DF" w:rsidR="004B7359" w:rsidRPr="001F1409" w:rsidRDefault="002C49B1" w:rsidP="0096661C">
      <w:pPr>
        <w:pStyle w:val="NormalWeb"/>
        <w:spacing w:line="480" w:lineRule="auto"/>
        <w:jc w:val="both"/>
        <w:rPr>
          <w:rFonts w:ascii="Bell MT" w:hAnsi="Bell MT"/>
          <w:b/>
          <w:bCs/>
        </w:rPr>
      </w:pPr>
      <w:r w:rsidRPr="001F1409">
        <w:rPr>
          <w:rFonts w:ascii="Bell MT" w:hAnsi="Bell MT"/>
          <w:b/>
          <w:bCs/>
        </w:rPr>
        <w:t xml:space="preserve">Hi </w:t>
      </w:r>
      <w:r w:rsidR="00FB1DB3" w:rsidRPr="001F1409">
        <w:rPr>
          <w:rFonts w:ascii="Bell MT" w:hAnsi="Bell MT"/>
          <w:b/>
          <w:bCs/>
        </w:rPr>
        <w:t xml:space="preserve">Tia. </w:t>
      </w:r>
    </w:p>
    <w:p w14:paraId="6B32DD45" w14:textId="7FB14DC8" w:rsidR="009D23B8" w:rsidRPr="001F1409" w:rsidRDefault="00BE447C" w:rsidP="0096661C">
      <w:pPr>
        <w:pStyle w:val="NormalWeb"/>
        <w:spacing w:line="480" w:lineRule="auto"/>
        <w:jc w:val="both"/>
        <w:rPr>
          <w:rFonts w:ascii="Bell MT" w:hAnsi="Bell MT"/>
          <w:b/>
          <w:bCs/>
        </w:rPr>
      </w:pPr>
      <w:r w:rsidRPr="001F1409">
        <w:rPr>
          <w:rFonts w:ascii="Bell MT" w:hAnsi="Bell MT"/>
          <w:b/>
          <w:bCs/>
        </w:rPr>
        <w:t xml:space="preserve">The cash flow ratio examples highlighted in </w:t>
      </w:r>
      <w:r w:rsidR="005456AA" w:rsidRPr="001F1409">
        <w:rPr>
          <w:rFonts w:ascii="Bell MT" w:hAnsi="Bell MT"/>
          <w:b/>
          <w:bCs/>
        </w:rPr>
        <w:t xml:space="preserve">your discussion </w:t>
      </w:r>
      <w:r w:rsidR="0042019D" w:rsidRPr="001F1409">
        <w:rPr>
          <w:rFonts w:ascii="Bell MT" w:hAnsi="Bell MT"/>
          <w:b/>
          <w:bCs/>
        </w:rPr>
        <w:t xml:space="preserve">above </w:t>
      </w:r>
      <w:r w:rsidR="00CF29B0" w:rsidRPr="001F1409">
        <w:rPr>
          <w:rFonts w:ascii="Bell MT" w:hAnsi="Bell MT"/>
          <w:b/>
          <w:bCs/>
        </w:rPr>
        <w:t xml:space="preserve">are </w:t>
      </w:r>
      <w:r w:rsidR="004438A8" w:rsidRPr="001F1409">
        <w:rPr>
          <w:rFonts w:ascii="Bell MT" w:hAnsi="Bell MT"/>
          <w:b/>
          <w:bCs/>
        </w:rPr>
        <w:t xml:space="preserve">important because they allow business owners to </w:t>
      </w:r>
      <w:r w:rsidR="003E4BF0" w:rsidRPr="001F1409">
        <w:rPr>
          <w:rFonts w:ascii="Bell MT" w:hAnsi="Bell MT"/>
          <w:b/>
          <w:bCs/>
        </w:rPr>
        <w:t xml:space="preserve">have accurate </w:t>
      </w:r>
      <w:r w:rsidR="00B77275" w:rsidRPr="001F1409">
        <w:rPr>
          <w:rFonts w:ascii="Bell MT" w:hAnsi="Bell MT"/>
          <w:b/>
          <w:bCs/>
        </w:rPr>
        <w:t xml:space="preserve">picture </w:t>
      </w:r>
      <w:r w:rsidR="00592E9F" w:rsidRPr="001F1409">
        <w:rPr>
          <w:rFonts w:ascii="Bell MT" w:hAnsi="Bell MT"/>
          <w:b/>
          <w:bCs/>
        </w:rPr>
        <w:t xml:space="preserve">of the </w:t>
      </w:r>
      <w:r w:rsidR="008B238C" w:rsidRPr="001F1409">
        <w:rPr>
          <w:rFonts w:ascii="Bell MT" w:hAnsi="Bell MT"/>
          <w:b/>
          <w:bCs/>
        </w:rPr>
        <w:t xml:space="preserve">actual cash position </w:t>
      </w:r>
      <w:r w:rsidR="007E5475" w:rsidRPr="001F1409">
        <w:rPr>
          <w:rFonts w:ascii="Bell MT" w:hAnsi="Bell MT"/>
          <w:b/>
          <w:bCs/>
        </w:rPr>
        <w:t>and viability of the business</w:t>
      </w:r>
      <w:r w:rsidR="003E7B60" w:rsidRPr="001F1409">
        <w:rPr>
          <w:rFonts w:ascii="Bell MT" w:hAnsi="Bell MT"/>
          <w:b/>
          <w:bCs/>
        </w:rPr>
        <w:t>.</w:t>
      </w:r>
      <w:r w:rsidR="007C0FBB" w:rsidRPr="001F1409">
        <w:rPr>
          <w:rFonts w:ascii="Bell MT" w:hAnsi="Bell MT"/>
          <w:b/>
          <w:bCs/>
        </w:rPr>
        <w:t xml:space="preserve"> </w:t>
      </w:r>
      <w:r w:rsidR="00A315AD" w:rsidRPr="001F1409">
        <w:rPr>
          <w:rFonts w:ascii="Bell MT" w:hAnsi="Bell MT"/>
          <w:b/>
          <w:bCs/>
        </w:rPr>
        <w:t xml:space="preserve">The operating </w:t>
      </w:r>
      <w:r w:rsidR="00D2096D" w:rsidRPr="001F1409">
        <w:rPr>
          <w:rFonts w:ascii="Bell MT" w:hAnsi="Bell MT"/>
          <w:b/>
          <w:bCs/>
        </w:rPr>
        <w:t xml:space="preserve">cash flow ratios for instance </w:t>
      </w:r>
      <w:r w:rsidR="0024392B" w:rsidRPr="001F1409">
        <w:rPr>
          <w:rFonts w:ascii="Bell MT" w:hAnsi="Bell MT"/>
          <w:b/>
          <w:bCs/>
        </w:rPr>
        <w:t xml:space="preserve">highlights the viability of the business </w:t>
      </w:r>
      <w:r w:rsidR="00DD60AA" w:rsidRPr="001F1409">
        <w:rPr>
          <w:rFonts w:ascii="Bell MT" w:hAnsi="Bell MT"/>
          <w:b/>
          <w:bCs/>
        </w:rPr>
        <w:t xml:space="preserve">and its ability to survive </w:t>
      </w:r>
      <w:r w:rsidR="00BB586C" w:rsidRPr="001F1409">
        <w:rPr>
          <w:rFonts w:ascii="Bell MT" w:hAnsi="Bell MT"/>
          <w:b/>
          <w:bCs/>
        </w:rPr>
        <w:t>in the long</w:t>
      </w:r>
      <w:r w:rsidR="00DD4872" w:rsidRPr="001F1409">
        <w:rPr>
          <w:rFonts w:ascii="Bell MT" w:hAnsi="Bell MT"/>
          <w:b/>
          <w:bCs/>
        </w:rPr>
        <w:t xml:space="preserve"> run and </w:t>
      </w:r>
      <w:r w:rsidR="00E21C62" w:rsidRPr="001F1409">
        <w:rPr>
          <w:rFonts w:ascii="Bell MT" w:hAnsi="Bell MT"/>
          <w:b/>
          <w:bCs/>
        </w:rPr>
        <w:t xml:space="preserve">the effectiveness </w:t>
      </w:r>
      <w:r w:rsidR="00EB0FBB" w:rsidRPr="001F1409">
        <w:rPr>
          <w:rFonts w:ascii="Bell MT" w:hAnsi="Bell MT"/>
          <w:b/>
          <w:bCs/>
        </w:rPr>
        <w:t>of its operations</w:t>
      </w:r>
      <w:r w:rsidR="00320BC4" w:rsidRPr="001F1409">
        <w:rPr>
          <w:rFonts w:ascii="Bell MT" w:hAnsi="Bell MT"/>
          <w:b/>
          <w:bCs/>
        </w:rPr>
        <w:t xml:space="preserve">. </w:t>
      </w:r>
      <w:r w:rsidR="002D2AE7" w:rsidRPr="001F1409">
        <w:rPr>
          <w:rFonts w:ascii="Bell MT" w:hAnsi="Bell MT"/>
          <w:b/>
          <w:bCs/>
        </w:rPr>
        <w:t xml:space="preserve">I agree with you. </w:t>
      </w:r>
    </w:p>
    <w:p w14:paraId="5001DF93" w14:textId="72EAF639" w:rsidR="00D778E3" w:rsidRPr="0096661C" w:rsidRDefault="00D778E3" w:rsidP="0096661C">
      <w:pPr>
        <w:pStyle w:val="NormalWeb"/>
        <w:spacing w:line="480" w:lineRule="auto"/>
        <w:jc w:val="both"/>
        <w:rPr>
          <w:rFonts w:ascii="Bell MT" w:hAnsi="Bell MT"/>
        </w:rPr>
      </w:pPr>
    </w:p>
    <w:p w14:paraId="3AF4D128" w14:textId="5D08CD76" w:rsidR="00D778E3" w:rsidRPr="0096661C" w:rsidRDefault="00D778E3" w:rsidP="0096661C">
      <w:pPr>
        <w:pStyle w:val="NormalWeb"/>
        <w:spacing w:line="480" w:lineRule="auto"/>
        <w:jc w:val="both"/>
        <w:rPr>
          <w:rFonts w:ascii="Bell MT" w:hAnsi="Bell MT"/>
        </w:rPr>
      </w:pPr>
    </w:p>
    <w:p w14:paraId="35BF1138" w14:textId="7E0453A7" w:rsidR="00D778E3" w:rsidRPr="0096661C" w:rsidRDefault="00D778E3" w:rsidP="0096661C">
      <w:pPr>
        <w:pStyle w:val="NormalWeb"/>
        <w:spacing w:line="480" w:lineRule="auto"/>
        <w:jc w:val="both"/>
        <w:rPr>
          <w:rFonts w:ascii="Bell MT" w:hAnsi="Bell MT"/>
        </w:rPr>
      </w:pPr>
    </w:p>
    <w:p w14:paraId="070A245C" w14:textId="77777777" w:rsidR="00D778E3" w:rsidRPr="0096661C" w:rsidRDefault="00D778E3" w:rsidP="0096661C">
      <w:pPr>
        <w:pStyle w:val="NormalWeb"/>
        <w:spacing w:line="480" w:lineRule="auto"/>
        <w:jc w:val="both"/>
        <w:rPr>
          <w:rFonts w:ascii="Bell MT" w:hAnsi="Bell MT"/>
        </w:rPr>
      </w:pPr>
    </w:p>
    <w:p w14:paraId="30EB1B22" w14:textId="3D4EFF56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Style w:val="Strong"/>
          <w:rFonts w:ascii="Bell MT" w:hAnsi="Bell MT"/>
        </w:rPr>
        <w:t>References</w:t>
      </w:r>
    </w:p>
    <w:p w14:paraId="37718FFD" w14:textId="04895122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Fonts w:ascii="Bell MT" w:hAnsi="Bell MT"/>
        </w:rPr>
        <w:t xml:space="preserve">Hargrave, M. (2021, April 12). Operating cash flow ratio. Investopedia.com. Retrieved from </w:t>
      </w:r>
      <w:hyperlink r:id="rId4" w:history="1">
        <w:r w:rsidRPr="0096661C">
          <w:rPr>
            <w:rStyle w:val="Hyperlink"/>
            <w:rFonts w:ascii="Bell MT" w:hAnsi="Bell MT"/>
          </w:rPr>
          <w:t>https://www.investopedia.com/terms/o/ocfratio.asp</w:t>
        </w:r>
      </w:hyperlink>
    </w:p>
    <w:p w14:paraId="1AADA272" w14:textId="77777777" w:rsidR="00CF68C2" w:rsidRPr="0096661C" w:rsidRDefault="00CF68C2" w:rsidP="0096661C">
      <w:pPr>
        <w:pStyle w:val="NormalWeb"/>
        <w:spacing w:line="480" w:lineRule="auto"/>
        <w:jc w:val="both"/>
        <w:rPr>
          <w:rFonts w:ascii="Bell MT" w:hAnsi="Bell MT"/>
        </w:rPr>
      </w:pPr>
      <w:r w:rsidRPr="0096661C">
        <w:rPr>
          <w:rFonts w:ascii="Bell MT" w:hAnsi="Bell MT"/>
        </w:rPr>
        <w:t>Levin, S. (n.d.). Financial ratios &amp; formulas [Lecture Notes]. University of Maryland Global Campus.</w:t>
      </w:r>
    </w:p>
    <w:p w14:paraId="0E5065E6" w14:textId="77777777" w:rsidR="00C73B9D" w:rsidRPr="0096661C" w:rsidRDefault="00C73B9D" w:rsidP="0096661C">
      <w:pPr>
        <w:spacing w:line="480" w:lineRule="auto"/>
        <w:jc w:val="both"/>
        <w:rPr>
          <w:rFonts w:ascii="Bell MT" w:hAnsi="Bell MT"/>
        </w:rPr>
      </w:pPr>
    </w:p>
    <w:sectPr w:rsidR="00C73B9D" w:rsidRPr="00966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9D"/>
    <w:rsid w:val="001B5490"/>
    <w:rsid w:val="001F1409"/>
    <w:rsid w:val="00216D0A"/>
    <w:rsid w:val="0024392B"/>
    <w:rsid w:val="002741AD"/>
    <w:rsid w:val="002C49B1"/>
    <w:rsid w:val="002D2AE7"/>
    <w:rsid w:val="00320BC4"/>
    <w:rsid w:val="00326E2F"/>
    <w:rsid w:val="00342972"/>
    <w:rsid w:val="003505CF"/>
    <w:rsid w:val="003E4BF0"/>
    <w:rsid w:val="003E697A"/>
    <w:rsid w:val="003E7B60"/>
    <w:rsid w:val="0042019D"/>
    <w:rsid w:val="004438A8"/>
    <w:rsid w:val="004B7359"/>
    <w:rsid w:val="004C5AB7"/>
    <w:rsid w:val="004F164E"/>
    <w:rsid w:val="005456AA"/>
    <w:rsid w:val="00592E9F"/>
    <w:rsid w:val="00644D9E"/>
    <w:rsid w:val="00653620"/>
    <w:rsid w:val="00696E45"/>
    <w:rsid w:val="007C0FBB"/>
    <w:rsid w:val="007D6C0C"/>
    <w:rsid w:val="007E5475"/>
    <w:rsid w:val="00884CE1"/>
    <w:rsid w:val="008864AD"/>
    <w:rsid w:val="008B238C"/>
    <w:rsid w:val="0093626D"/>
    <w:rsid w:val="0094509A"/>
    <w:rsid w:val="0096661C"/>
    <w:rsid w:val="00981CA2"/>
    <w:rsid w:val="009943A8"/>
    <w:rsid w:val="009B00CE"/>
    <w:rsid w:val="009D23B8"/>
    <w:rsid w:val="009E2158"/>
    <w:rsid w:val="00A315AD"/>
    <w:rsid w:val="00AC6648"/>
    <w:rsid w:val="00B77275"/>
    <w:rsid w:val="00BB586C"/>
    <w:rsid w:val="00BE447C"/>
    <w:rsid w:val="00C73B9D"/>
    <w:rsid w:val="00CC08C3"/>
    <w:rsid w:val="00CF29B0"/>
    <w:rsid w:val="00CF68C2"/>
    <w:rsid w:val="00D2096D"/>
    <w:rsid w:val="00D57035"/>
    <w:rsid w:val="00D64CE7"/>
    <w:rsid w:val="00D778E3"/>
    <w:rsid w:val="00DD4872"/>
    <w:rsid w:val="00DD60AA"/>
    <w:rsid w:val="00E2169A"/>
    <w:rsid w:val="00E21C62"/>
    <w:rsid w:val="00E44CB2"/>
    <w:rsid w:val="00E7746C"/>
    <w:rsid w:val="00EB0FBB"/>
    <w:rsid w:val="00FB1DB3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5CEE"/>
  <w15:chartTrackingRefBased/>
  <w15:docId w15:val="{23619579-055C-7947-8A61-B91AF5E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B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73B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F68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vestopedia.com/terms/o/ocfrati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Marizel Brewington</dc:creator>
  <cp:keywords/>
  <dc:description/>
  <cp:lastModifiedBy>steveyoung640@gmail.com</cp:lastModifiedBy>
  <cp:revision>61</cp:revision>
  <dcterms:created xsi:type="dcterms:W3CDTF">2021-07-12T03:35:00Z</dcterms:created>
  <dcterms:modified xsi:type="dcterms:W3CDTF">2021-07-14T03:42:00Z</dcterms:modified>
</cp:coreProperties>
</file>